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51960854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9F3AC2">
        <w:rPr>
          <w:rFonts w:cstheme="minorHAnsi"/>
          <w:bCs/>
          <w:color w:val="000000"/>
          <w:sz w:val="24"/>
          <w:szCs w:val="24"/>
        </w:rPr>
        <w:t>3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9F3AC2">
        <w:rPr>
          <w:rFonts w:cstheme="minorHAnsi"/>
          <w:bCs/>
          <w:color w:val="000000"/>
          <w:sz w:val="24"/>
          <w:szCs w:val="24"/>
        </w:rPr>
        <w:t>86/26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6899A203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F3AC2">
        <w:rPr>
          <w:rFonts w:cstheme="minorHAnsi"/>
          <w:sz w:val="24"/>
          <w:szCs w:val="24"/>
        </w:rPr>
        <w:t>.</w:t>
      </w:r>
      <w:r w:rsidR="00CF1497" w:rsidRPr="00CF1497">
        <w:rPr>
          <w:rFonts w:cstheme="minorHAnsi"/>
          <w:b/>
          <w:sz w:val="24"/>
          <w:szCs w:val="24"/>
        </w:rPr>
        <w:t xml:space="preserve"> </w:t>
      </w:r>
      <w:r w:rsidR="009F3AC2" w:rsidRPr="009F3AC2">
        <w:rPr>
          <w:rFonts w:asciiTheme="majorHAnsi" w:hAnsiTheme="majorHAnsi" w:cstheme="majorHAnsi"/>
          <w:b/>
          <w:sz w:val="24"/>
          <w:szCs w:val="14"/>
        </w:rPr>
        <w:t>sukcesywnych dostaw bibliotek do sekwencjonowania NGS kompatybilne z sekwenatorem NGS MiniSeq/</w:t>
      </w:r>
      <w:proofErr w:type="spellStart"/>
      <w:r w:rsidR="009F3AC2" w:rsidRPr="009F3AC2">
        <w:rPr>
          <w:rFonts w:asciiTheme="majorHAnsi" w:hAnsiTheme="majorHAnsi" w:cstheme="majorHAnsi"/>
          <w:b/>
          <w:sz w:val="24"/>
          <w:szCs w:val="14"/>
        </w:rPr>
        <w:t>MiSeq</w:t>
      </w:r>
      <w:proofErr w:type="spellEnd"/>
      <w:r w:rsidR="009F3AC2" w:rsidRPr="009F3AC2">
        <w:rPr>
          <w:rFonts w:asciiTheme="majorHAnsi" w:hAnsiTheme="majorHAnsi" w:cstheme="majorHAnsi"/>
          <w:b/>
          <w:sz w:val="24"/>
          <w:szCs w:val="14"/>
        </w:rPr>
        <w:t xml:space="preserve">/NextSeq550Dx przez okres 24 miesięcy </w:t>
      </w:r>
      <w:r w:rsidR="009F3AC2">
        <w:rPr>
          <w:rFonts w:asciiTheme="majorHAnsi" w:hAnsiTheme="majorHAnsi" w:cstheme="majorHAnsi"/>
          <w:b/>
          <w:sz w:val="24"/>
          <w:szCs w:val="14"/>
        </w:rPr>
        <w:t>Zakładu Genetyki Klinicznej i Molekularnej</w:t>
      </w:r>
      <w:bookmarkStart w:id="0" w:name="_GoBack"/>
      <w:bookmarkEnd w:id="0"/>
      <w:r w:rsidR="009F3AC2" w:rsidRPr="009F3AC2">
        <w:rPr>
          <w:rFonts w:ascii="Arial" w:hAnsi="Arial" w:cs="Arial"/>
          <w:sz w:val="24"/>
          <w:szCs w:val="1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E47E5" w14:textId="77777777" w:rsidR="00130E67" w:rsidRDefault="00130E67" w:rsidP="0038231F">
      <w:pPr>
        <w:spacing w:after="0" w:line="240" w:lineRule="auto"/>
      </w:pPr>
      <w:r>
        <w:separator/>
      </w:r>
    </w:p>
  </w:endnote>
  <w:endnote w:type="continuationSeparator" w:id="0">
    <w:p w14:paraId="03930750" w14:textId="77777777" w:rsidR="00130E67" w:rsidRDefault="00130E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760F3" w14:textId="77777777" w:rsidR="00130E67" w:rsidRDefault="00130E67" w:rsidP="0038231F">
      <w:pPr>
        <w:spacing w:after="0" w:line="240" w:lineRule="auto"/>
      </w:pPr>
      <w:r>
        <w:separator/>
      </w:r>
    </w:p>
  </w:footnote>
  <w:footnote w:type="continuationSeparator" w:id="0">
    <w:p w14:paraId="00B69FA9" w14:textId="77777777" w:rsidR="00130E67" w:rsidRDefault="00130E67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0E6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9F3AC2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A84CC-6DED-40BE-B35E-4C6C3B872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2026-04-08T09:34:00Z</cp:lastPrinted>
  <dcterms:created xsi:type="dcterms:W3CDTF">2026-04-08T09:34:00Z</dcterms:created>
  <dcterms:modified xsi:type="dcterms:W3CDTF">2026-04-08T09:34:00Z</dcterms:modified>
</cp:coreProperties>
</file>